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2" w:rsidRDefault="00DA4986" w:rsidP="00A16CD7">
      <w:pPr>
        <w:spacing w:after="0" w:line="240" w:lineRule="auto"/>
        <w:rPr>
          <w:snapToGrid w:val="0"/>
          <w:sz w:val="24"/>
          <w:szCs w:val="24"/>
        </w:rPr>
      </w:pPr>
      <w:r w:rsidRPr="000E38C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  <w:r w:rsidR="004D30B8" w:rsidRPr="005F3C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4F0B2EB" wp14:editId="010CC6AE">
            <wp:simplePos x="0" y="0"/>
            <wp:positionH relativeFrom="column">
              <wp:posOffset>2568575</wp:posOffset>
            </wp:positionH>
            <wp:positionV relativeFrom="paragraph">
              <wp:posOffset>219710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02" w:rsidRDefault="005F3C02" w:rsidP="005F3C02">
      <w:pPr>
        <w:jc w:val="center"/>
        <w:rPr>
          <w:b/>
          <w:sz w:val="24"/>
          <w:szCs w:val="24"/>
        </w:rPr>
      </w:pPr>
    </w:p>
    <w:p w:rsidR="005F3C02" w:rsidRDefault="005F3C02" w:rsidP="005F3C02">
      <w:pPr>
        <w:jc w:val="center"/>
        <w:rPr>
          <w:b/>
          <w:sz w:val="24"/>
          <w:szCs w:val="24"/>
        </w:rPr>
      </w:pPr>
    </w:p>
    <w:p w:rsidR="005F3C02" w:rsidRDefault="005F3C02" w:rsidP="005F3C02">
      <w:pPr>
        <w:jc w:val="center"/>
        <w:rPr>
          <w:b/>
          <w:szCs w:val="28"/>
        </w:rPr>
      </w:pPr>
    </w:p>
    <w:p w:rsidR="005F3C02" w:rsidRPr="00A16CD7" w:rsidRDefault="005F3C02" w:rsidP="005F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E0010" w:rsidRPr="00A16CD7" w:rsidRDefault="005F3C02" w:rsidP="005F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F3C02" w:rsidRPr="00A16CD7" w:rsidRDefault="005F3C02" w:rsidP="005F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DA4986" w:rsidRPr="00A16CD7" w:rsidRDefault="005F3C02" w:rsidP="005F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A4986" w:rsidRPr="000E38C0" w:rsidRDefault="001029EB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A16CD7" w:rsidRDefault="009E5359" w:rsidP="009E53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</w:t>
      </w:r>
      <w:r w:rsidR="00DA4986" w:rsidRPr="00A16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DA4986" w:rsidRPr="000E38C0" w:rsidRDefault="001029EB" w:rsidP="00DA498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A16CD7" w:rsidRDefault="00A16CD7" w:rsidP="00A1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16C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_____________№ _______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9E5359" w:rsidRDefault="00DA4986" w:rsidP="00AE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регламента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экспертизы»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A16CD7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171469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23.11.1995 г. № 174-ФЗ «Об экологической экспертизе», Федеральным законом от 06.10.2003 г. № </w:t>
      </w:r>
      <w:r w:rsidR="006C2D9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 общих принципах организации местного самоуправления в Российской Федерации», </w:t>
      </w:r>
      <w:r w:rsidR="00171469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D9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="00DA498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DA498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27.07.2010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DA498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DA498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210-ФЗ</w:t>
        </w:r>
      </w:hyperlink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услуг»,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района Пестравский Самарской области от 19.02.2014 г.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</w:t>
      </w:r>
      <w:r w:rsidR="00A32E57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Пестравский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ПОСТАНОВЛЯЕТ: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r w:rsidR="006F10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возложить на Первого заместителя Главы муниципального района Пестравский Самарской области (Ермолов С.В.)</w:t>
      </w:r>
      <w:r w:rsidR="00634F2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4E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32E57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32E57" w:rsidRPr="009E5359" w:rsidRDefault="00A32E57" w:rsidP="004E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Пестравский                                                                   </w:t>
      </w:r>
      <w:r w:rsid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Любаев</w:t>
      </w:r>
    </w:p>
    <w:p w:rsidR="001029EB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4E4BEF" w:rsidP="0063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Ваньков И.Н.</w:t>
      </w:r>
      <w:r w:rsidR="009E5359" w:rsidRPr="009E5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8(846)7422488</w:t>
      </w:r>
      <w:r w:rsidR="001029EB" w:rsidRPr="009E5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634F24" w:rsidRPr="009E5359" w:rsidRDefault="00634F24" w:rsidP="00634F2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A4986" w:rsidRPr="009E5359" w:rsidRDefault="00634F24" w:rsidP="00634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A4986" w:rsidRPr="009E5359" w:rsidRDefault="008961B8" w:rsidP="00634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</w:p>
    <w:p w:rsidR="00DA4986" w:rsidRPr="009E5359" w:rsidRDefault="00A32E57" w:rsidP="0063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4F2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1B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34F2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</w:p>
    <w:p w:rsidR="00634F24" w:rsidRPr="009E5359" w:rsidRDefault="00634F2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9E5359" w:rsidRDefault="001029EB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:rsidR="00DA4986" w:rsidRPr="009E5359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</w:t>
      </w:r>
    </w:p>
    <w:p w:rsidR="00DA4986" w:rsidRPr="009E5359" w:rsidRDefault="001029EB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634F24" w:rsidRPr="009E5359" w:rsidRDefault="00634F24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634F2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1B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961B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9571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4986" w:rsidRPr="009E5359" w:rsidRDefault="00DA4986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заявители).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DA4986" w:rsidRPr="009E5359" w:rsidRDefault="008961B8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Пестравский,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дрес: 446160, Самарская обл., Пестравский р-он,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Пестравка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Крайнюковская</w:t>
      </w:r>
      <w:proofErr w:type="spell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84, 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8(846</w:t>
      </w:r>
      <w:r w:rsidR="009D031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742</w:t>
      </w:r>
      <w:r w:rsidR="009D031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544, 8(846</w:t>
      </w:r>
      <w:r w:rsidR="009D031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7421233</w:t>
      </w:r>
      <w:r w:rsidR="009D031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общедоступной.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телефонной,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65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18465D" w:rsidRPr="009E5359">
        <w:rPr>
          <w:sz w:val="28"/>
          <w:szCs w:val="28"/>
        </w:rPr>
        <w:t xml:space="preserve"> </w:t>
      </w:r>
      <w:r w:rsidR="0018465D" w:rsidRPr="009E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https://www.pestravsky.ru/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обратившегося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информирования.</w:t>
      </w:r>
    </w:p>
    <w:p w:rsidR="00DA4986" w:rsidRDefault="00DA4986" w:rsidP="001A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исполнителя.</w:t>
      </w:r>
    </w:p>
    <w:p w:rsidR="001A25FF" w:rsidRPr="009E5359" w:rsidRDefault="001A25FF" w:rsidP="001A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65F" w:rsidRDefault="00DA4986" w:rsidP="001A2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1A25FF" w:rsidRPr="009E5359" w:rsidRDefault="001A25FF" w:rsidP="001A2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охране окружающей среды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намечаемой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</w:p>
    <w:p w:rsidR="00E433C6" w:rsidRPr="009E5359" w:rsidRDefault="00DA4986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E433C6" w:rsidRPr="009E5359" w:rsidRDefault="00DA4986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hyperlink r:id="rId7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23.11.1995 № 174-ФЗ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экологической экспертизе»;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hyperlink r:id="rId8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10.01.2002 № 7-ФЗ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охране окружающей среды»;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hyperlink r:id="rId9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№131-ФЗ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Федерации;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E433C6" w:rsidRPr="009E5359" w:rsidRDefault="001A25FF" w:rsidP="001A2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hyperlink r:id="rId10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27.07.2010 № 210-ФЗ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</w:t>
      </w:r>
      <w:hyperlink r:id="rId11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11.06.1996 № 698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проведения Государственной экологической экспертизы»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E433C6" w:rsidRPr="009E5359" w:rsidRDefault="00E433C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9E5359" w:rsidRDefault="00E433C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или иными нормативными правовыми  актами предоставления муниципальной услуги с разделением на документы и информацию, которые заявитель до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 представить самостоятельно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gtFrame="_blank" w:history="1"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23.11.1995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174-ФЗ</w:t>
        </w:r>
      </w:hyperlink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экспертизе»;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обращающегося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разборчиво;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полностью;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карандашом.</w:t>
      </w:r>
    </w:p>
    <w:p w:rsidR="00E433C6" w:rsidRPr="009E5359" w:rsidRDefault="00E433C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1EC" w:rsidRPr="009E5359" w:rsidRDefault="001021EC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выполнены требования к содержанию заявления о проведении общественной экологической экспертизы, предусмотренные пунктом 2.6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неполный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 документов указанных в п.2.6.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регламента. 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требованиям пункта 2.7. настоящего регламента.</w:t>
      </w:r>
    </w:p>
    <w:p w:rsidR="00DA4986" w:rsidRPr="009E5359" w:rsidRDefault="001021EC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tgtFrame="_blank" w:history="1"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23.11.1995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174-ФЗ</w:t>
        </w:r>
      </w:hyperlink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экспертизе»;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55575A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регистрации).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процедур: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услуги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собаки-проводника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принадлежностями;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печатающему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устройству;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 и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67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выполнения.</w:t>
      </w:r>
    </w:p>
    <w:p w:rsidR="00DA4986" w:rsidRPr="009E5359" w:rsidRDefault="001029EB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аппарата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Пестравский,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корреспонденции: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5C0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рассмотрения.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65C0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C0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аппарата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специалистом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324F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D668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решения).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D668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ведущего специалиста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подшиваются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замещающего.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(двух)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F9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 административного регламента</w:t>
      </w:r>
    </w:p>
    <w:p w:rsidR="00FF555F" w:rsidRPr="009E5359" w:rsidRDefault="00FF555F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55F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8465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8465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регламенте.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FF5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служащих)</w:t>
      </w:r>
      <w:r w:rsidR="007240F9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затягивание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(устно)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(жалоба)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обжалуется;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(жалобе)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незаконными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услугу,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неправомерным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отказа).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давались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безосновательности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направляемые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направлялись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D651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выразилось,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лица);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прочтению;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bookmarkStart w:id="0" w:name="_GoBack"/>
      <w:bookmarkEnd w:id="0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465D" w:rsidRPr="009E5359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65D" w:rsidRPr="009E5359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65D" w:rsidRPr="009E5359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65D" w:rsidRPr="009E5359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72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574" w:rsidRDefault="0029757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574" w:rsidRDefault="0029757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574" w:rsidRDefault="0029757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574" w:rsidRDefault="0029757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574" w:rsidRDefault="0029757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574" w:rsidRDefault="0029757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«Регистрация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экспертизы»</w:t>
      </w:r>
    </w:p>
    <w:p w:rsidR="00DA4986" w:rsidRPr="00221FF6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DA4986" w:rsidRPr="00221FF6" w:rsidRDefault="001029EB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37"/>
      </w:tblGrid>
      <w:tr w:rsidR="00DA4986" w:rsidRPr="00221FF6" w:rsidTr="00221FF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86" w:rsidRPr="00221FF6" w:rsidRDefault="00DA4986" w:rsidP="0054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FF6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808" w:type="dxa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8"/>
            </w:tblGrid>
            <w:tr w:rsidR="00DA4986" w:rsidRPr="00221FF6" w:rsidTr="00221FF6"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9D651E" w:rsidP="009D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4986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Главе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Пестравский</w:t>
                  </w:r>
                  <w:r w:rsidR="00221FF6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</w:p>
              </w:tc>
            </w:tr>
            <w:tr w:rsidR="00DA4986" w:rsidRPr="00221FF6" w:rsidTr="00221FF6">
              <w:trPr>
                <w:trHeight w:val="392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(инициалы,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фамилия)</w:t>
                  </w:r>
                </w:p>
              </w:tc>
            </w:tr>
            <w:tr w:rsidR="00DA4986" w:rsidRPr="00221FF6" w:rsidTr="00221FF6">
              <w:trPr>
                <w:trHeight w:val="234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(Ф.И.О.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руководителя)</w:t>
                  </w:r>
                </w:p>
              </w:tc>
            </w:tr>
            <w:tr w:rsidR="00DA4986" w:rsidRPr="00221FF6" w:rsidTr="00221FF6">
              <w:trPr>
                <w:trHeight w:val="226"/>
              </w:trPr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1029EB" w:rsidP="00DA4986">
                  <w:pPr>
                    <w:spacing w:after="0" w:line="226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(полное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заявителя)</w:t>
                  </w:r>
                </w:p>
              </w:tc>
            </w:tr>
            <w:tr w:rsidR="00DA4986" w:rsidRPr="00221FF6" w:rsidTr="00221FF6">
              <w:trPr>
                <w:trHeight w:val="219"/>
              </w:trPr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19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(юридический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фактический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заявителя,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контактного</w:t>
                  </w:r>
                  <w:proofErr w:type="gramEnd"/>
                </w:p>
              </w:tc>
            </w:tr>
            <w:tr w:rsidR="00DA4986" w:rsidRPr="00221FF6" w:rsidTr="00221FF6">
              <w:trPr>
                <w:trHeight w:val="224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24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телефона,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факса,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почты)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1029EB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A4986" w:rsidRPr="00221FF6" w:rsidRDefault="00DA4986" w:rsidP="00D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986" w:rsidRPr="00221FF6" w:rsidRDefault="00540C3E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аявление.</w:t>
      </w:r>
    </w:p>
    <w:p w:rsidR="00540C3E" w:rsidRPr="00221FF6" w:rsidRDefault="00540C3E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экспертизы.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(объединение)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DA4986" w:rsidP="00221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(объединения)</w:t>
      </w:r>
      <w:proofErr w:type="gramEnd"/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</w:t>
      </w:r>
      <w:r w:rsidR="009D651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40C3E" w:rsidRPr="00221FF6" w:rsidRDefault="009D651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уставная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9D651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23.11.1995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174-ФЗ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экспертизе»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экспертизы,</w:t>
      </w:r>
      <w:r w:rsidR="0018465D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является______________________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входят: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A4986" w:rsidRPr="00221FF6" w:rsidRDefault="001029EB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«____»_____________20__г.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«____»_____________20__г.</w:t>
      </w:r>
    </w:p>
    <w:p w:rsidR="00DA4986" w:rsidRPr="00221FF6" w:rsidRDefault="001029EB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21FF6" w:rsidRPr="00221FF6" w:rsidRDefault="00DA4986" w:rsidP="0022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proofErr w:type="gramEnd"/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(объединения) М.П.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sectPr w:rsidR="00DA4986" w:rsidRPr="00221FF6" w:rsidSect="00221F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890"/>
    <w:rsid w:val="0002355A"/>
    <w:rsid w:val="000279F7"/>
    <w:rsid w:val="00096660"/>
    <w:rsid w:val="000B2FD1"/>
    <w:rsid w:val="000C0FE6"/>
    <w:rsid w:val="000C456B"/>
    <w:rsid w:val="000C6BDD"/>
    <w:rsid w:val="000E38C0"/>
    <w:rsid w:val="001021EC"/>
    <w:rsid w:val="001029EB"/>
    <w:rsid w:val="00103C45"/>
    <w:rsid w:val="0011784E"/>
    <w:rsid w:val="00130B32"/>
    <w:rsid w:val="0015350A"/>
    <w:rsid w:val="00165C0D"/>
    <w:rsid w:val="00171469"/>
    <w:rsid w:val="0017202F"/>
    <w:rsid w:val="00175785"/>
    <w:rsid w:val="00175DD0"/>
    <w:rsid w:val="0018465D"/>
    <w:rsid w:val="0018689C"/>
    <w:rsid w:val="001A25FF"/>
    <w:rsid w:val="001B296E"/>
    <w:rsid w:val="001C470B"/>
    <w:rsid w:val="001C5F51"/>
    <w:rsid w:val="001E5E52"/>
    <w:rsid w:val="00214C30"/>
    <w:rsid w:val="00221FF6"/>
    <w:rsid w:val="0025270D"/>
    <w:rsid w:val="00261505"/>
    <w:rsid w:val="00262065"/>
    <w:rsid w:val="002666C5"/>
    <w:rsid w:val="00276C89"/>
    <w:rsid w:val="00286E4C"/>
    <w:rsid w:val="002927FE"/>
    <w:rsid w:val="00297574"/>
    <w:rsid w:val="002A4865"/>
    <w:rsid w:val="002C0E65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4211"/>
    <w:rsid w:val="004C61C5"/>
    <w:rsid w:val="004D30B8"/>
    <w:rsid w:val="004E4BEF"/>
    <w:rsid w:val="004F451D"/>
    <w:rsid w:val="00520DEE"/>
    <w:rsid w:val="0053041A"/>
    <w:rsid w:val="005324F5"/>
    <w:rsid w:val="00540C3E"/>
    <w:rsid w:val="0055167C"/>
    <w:rsid w:val="0055575A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3C02"/>
    <w:rsid w:val="005F60EC"/>
    <w:rsid w:val="00603225"/>
    <w:rsid w:val="006055F8"/>
    <w:rsid w:val="00634F24"/>
    <w:rsid w:val="006618A8"/>
    <w:rsid w:val="006705BF"/>
    <w:rsid w:val="0068514B"/>
    <w:rsid w:val="006A1613"/>
    <w:rsid w:val="006A20D0"/>
    <w:rsid w:val="006A37F8"/>
    <w:rsid w:val="006B7E41"/>
    <w:rsid w:val="006C2D94"/>
    <w:rsid w:val="006F10B5"/>
    <w:rsid w:val="00704909"/>
    <w:rsid w:val="007172BF"/>
    <w:rsid w:val="007240F9"/>
    <w:rsid w:val="00724BEF"/>
    <w:rsid w:val="00724E88"/>
    <w:rsid w:val="007335F6"/>
    <w:rsid w:val="00763CA3"/>
    <w:rsid w:val="007658F5"/>
    <w:rsid w:val="00786A0B"/>
    <w:rsid w:val="007A532F"/>
    <w:rsid w:val="007A69F2"/>
    <w:rsid w:val="007A7C07"/>
    <w:rsid w:val="007C389B"/>
    <w:rsid w:val="00802281"/>
    <w:rsid w:val="00835AC5"/>
    <w:rsid w:val="00840947"/>
    <w:rsid w:val="00850F21"/>
    <w:rsid w:val="00851E48"/>
    <w:rsid w:val="00872602"/>
    <w:rsid w:val="00874560"/>
    <w:rsid w:val="008903B9"/>
    <w:rsid w:val="008961B8"/>
    <w:rsid w:val="008A7BC5"/>
    <w:rsid w:val="008C6D7F"/>
    <w:rsid w:val="008D668C"/>
    <w:rsid w:val="008E4261"/>
    <w:rsid w:val="009128CB"/>
    <w:rsid w:val="00916064"/>
    <w:rsid w:val="009452AF"/>
    <w:rsid w:val="00947EE6"/>
    <w:rsid w:val="00965E7D"/>
    <w:rsid w:val="009773E5"/>
    <w:rsid w:val="009912A0"/>
    <w:rsid w:val="00992E7B"/>
    <w:rsid w:val="009A319D"/>
    <w:rsid w:val="009A31CA"/>
    <w:rsid w:val="009A5B0A"/>
    <w:rsid w:val="009D0316"/>
    <w:rsid w:val="009D4A10"/>
    <w:rsid w:val="009D651E"/>
    <w:rsid w:val="009E5359"/>
    <w:rsid w:val="009E64F8"/>
    <w:rsid w:val="00A06428"/>
    <w:rsid w:val="00A075B5"/>
    <w:rsid w:val="00A16CD7"/>
    <w:rsid w:val="00A32E57"/>
    <w:rsid w:val="00A3412E"/>
    <w:rsid w:val="00A415BB"/>
    <w:rsid w:val="00A5615F"/>
    <w:rsid w:val="00A951BC"/>
    <w:rsid w:val="00AB5C7E"/>
    <w:rsid w:val="00AC0184"/>
    <w:rsid w:val="00AE0010"/>
    <w:rsid w:val="00AE7779"/>
    <w:rsid w:val="00AE7A03"/>
    <w:rsid w:val="00B02F3C"/>
    <w:rsid w:val="00B16AD3"/>
    <w:rsid w:val="00B26B93"/>
    <w:rsid w:val="00B33B2A"/>
    <w:rsid w:val="00B4265F"/>
    <w:rsid w:val="00B576EB"/>
    <w:rsid w:val="00B63F33"/>
    <w:rsid w:val="00B65B8C"/>
    <w:rsid w:val="00B66FC6"/>
    <w:rsid w:val="00B7019F"/>
    <w:rsid w:val="00B704BD"/>
    <w:rsid w:val="00B91E33"/>
    <w:rsid w:val="00B95713"/>
    <w:rsid w:val="00BB7ABF"/>
    <w:rsid w:val="00BC4F54"/>
    <w:rsid w:val="00BC74B3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7064F"/>
    <w:rsid w:val="00DA4986"/>
    <w:rsid w:val="00DE0A53"/>
    <w:rsid w:val="00DE1F3E"/>
    <w:rsid w:val="00DE7D11"/>
    <w:rsid w:val="00DF2E30"/>
    <w:rsid w:val="00E35EEF"/>
    <w:rsid w:val="00E433C6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qFormat/>
    <w:rsid w:val="005F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10">
    <w:name w:val="Заголовок 1 Знак"/>
    <w:basedOn w:val="a0"/>
    <w:link w:val="1"/>
    <w:rsid w:val="005F3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qFormat/>
    <w:rsid w:val="005F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10">
    <w:name w:val="Заголовок 1 Знак"/>
    <w:basedOn w:val="a0"/>
    <w:link w:val="1"/>
    <w:rsid w:val="005F3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9E18FBB-9A65-4C81-9EDC-E24E33DC8294" TargetMode="External"/><Relationship Id="rId13" Type="http://schemas.openxmlformats.org/officeDocument/2006/relationships/hyperlink" Target="http://pravo-search.minjust.ru/bigs/showDocument.html?id=BA9C9FA2-4B2A-40E1-ACFE-A723B0F89F5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A9C9FA2-4B2A-40E1-ACFE-A723B0F89F5E" TargetMode="External"/><Relationship Id="rId12" Type="http://schemas.openxmlformats.org/officeDocument/2006/relationships/hyperlink" Target="http://pravo-search.minjust.ru/bigs/showDocument.html?id=31FDBF9D-59C2-4969-881D-BD4C70E38E9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http://pravo-search.minjust.ru/bigs/showDocument.html?id=6D1920E7-C559-4B73-BB69-59DB074C80B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http://pravo-search.minjust.ru/bigs/showDocument.html?id=BA9C9FA2-4B2A-40E1-ACFE-A723B0F89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Старкова</cp:lastModifiedBy>
  <cp:revision>8</cp:revision>
  <cp:lastPrinted>2019-04-25T06:15:00Z</cp:lastPrinted>
  <dcterms:created xsi:type="dcterms:W3CDTF">2019-01-28T07:45:00Z</dcterms:created>
  <dcterms:modified xsi:type="dcterms:W3CDTF">2019-04-25T06:19:00Z</dcterms:modified>
</cp:coreProperties>
</file>